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822E" w14:textId="77777777" w:rsidR="00067A56" w:rsidRDefault="00000000">
      <w:pPr>
        <w:spacing w:after="0" w:line="240" w:lineRule="auto"/>
        <w:jc w:val="center"/>
        <w:rPr>
          <w:rFonts w:ascii="Times New Roman" w:eastAsia="Times New Roman" w:hAnsi="Times New Roman" w:cs="Times New Roman"/>
          <w:b/>
          <w:bCs/>
          <w:caps/>
          <w:kern w:val="0"/>
          <w:lang w:eastAsia="pl-PL"/>
          <w14:ligatures w14:val="none"/>
        </w:rPr>
      </w:pPr>
      <w:r>
        <w:rPr>
          <w:rFonts w:ascii="Times New Roman" w:eastAsia="Times New Roman" w:hAnsi="Times New Roman" w:cs="Times New Roman"/>
          <w:b/>
          <w:bCs/>
          <w:caps/>
          <w:kern w:val="0"/>
          <w:lang w:eastAsia="pl-PL"/>
          <w14:ligatures w14:val="none"/>
        </w:rPr>
        <w:t xml:space="preserve">Uchwała nr </w:t>
      </w:r>
      <w:r>
        <w:rPr>
          <w:rFonts w:ascii="Times New Roman" w:eastAsia="Times New Roman" w:hAnsi="Times New Roman" w:cs="Times New Roman"/>
          <w:b/>
          <w:bCs/>
          <w:caps/>
          <w:kern w:val="0"/>
          <w:lang w:eastAsia="pl-PL"/>
          <w14:ligatures w14:val="none"/>
        </w:rPr>
        <w:br/>
        <w:t>Rady Gminy Świdnica</w:t>
      </w:r>
    </w:p>
    <w:p w14:paraId="08A5EBE4" w14:textId="77777777" w:rsidR="00067A56" w:rsidRDefault="00000000">
      <w:pPr>
        <w:spacing w:before="280" w:after="280" w:line="240" w:lineRule="auto"/>
        <w:jc w:val="center"/>
        <w:rPr>
          <w:rFonts w:ascii="Times New Roman" w:eastAsia="Times New Roman" w:hAnsi="Times New Roman" w:cs="Times New Roman"/>
          <w:b/>
          <w:bCs/>
          <w:caps/>
          <w:kern w:val="0"/>
          <w:lang w:eastAsia="pl-PL"/>
          <w14:ligatures w14:val="none"/>
        </w:rPr>
      </w:pPr>
      <w:r>
        <w:rPr>
          <w:rFonts w:ascii="Times New Roman" w:eastAsia="Times New Roman" w:hAnsi="Times New Roman" w:cs="Times New Roman"/>
          <w:kern w:val="0"/>
          <w:lang w:eastAsia="pl-PL"/>
          <w14:ligatures w14:val="none"/>
        </w:rPr>
        <w:t>z dnia 20 maja 2026 r.</w:t>
      </w:r>
    </w:p>
    <w:p w14:paraId="605740C0" w14:textId="1C1A7BB2" w:rsidR="00067A56" w:rsidRDefault="00000000" w:rsidP="005958E3">
      <w:pPr>
        <w:keepLines/>
        <w:spacing w:before="120" w:after="120" w:line="240" w:lineRule="auto"/>
        <w:ind w:firstLine="227"/>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w sprawie rozpatrzenia wezwania do usunięcia naruszenia prawa</w:t>
      </w:r>
    </w:p>
    <w:p w14:paraId="0E5BE510" w14:textId="77777777" w:rsidR="00067A56" w:rsidRDefault="00067A56">
      <w:pPr>
        <w:keepLines/>
        <w:spacing w:before="120" w:after="120" w:line="240" w:lineRule="auto"/>
        <w:ind w:firstLine="227"/>
        <w:jc w:val="both"/>
        <w:rPr>
          <w:rFonts w:ascii="Times New Roman" w:eastAsia="Times New Roman" w:hAnsi="Times New Roman" w:cs="Times New Roman"/>
          <w:kern w:val="0"/>
          <w:sz w:val="22"/>
          <w:szCs w:val="22"/>
          <w:lang w:eastAsia="pl-PL"/>
          <w14:ligatures w14:val="none"/>
        </w:rPr>
      </w:pPr>
    </w:p>
    <w:p w14:paraId="766F4C15" w14:textId="77777777" w:rsidR="00067A56" w:rsidRDefault="00067A56">
      <w:pPr>
        <w:keepLines/>
        <w:spacing w:before="120" w:after="120" w:line="240" w:lineRule="auto"/>
        <w:ind w:firstLine="227"/>
        <w:jc w:val="both"/>
        <w:rPr>
          <w:rFonts w:ascii="Times New Roman" w:eastAsia="Times New Roman" w:hAnsi="Times New Roman" w:cs="Times New Roman"/>
          <w:kern w:val="0"/>
          <w:sz w:val="22"/>
          <w:szCs w:val="22"/>
          <w:lang w:eastAsia="pl-PL"/>
          <w14:ligatures w14:val="none"/>
        </w:rPr>
      </w:pPr>
    </w:p>
    <w:p w14:paraId="26C6C774" w14:textId="77777777" w:rsidR="00067A56" w:rsidRDefault="00000000">
      <w:pPr>
        <w:keepLines/>
        <w:spacing w:before="120" w:after="120" w:line="240" w:lineRule="auto"/>
        <w:ind w:firstLine="227"/>
        <w:jc w:val="both"/>
        <w:rPr>
          <w:rFonts w:ascii="Times New Roman" w:eastAsia="Times New Roman" w:hAnsi="Times New Roman" w:cs="Times New Roman"/>
          <w:kern w:val="0"/>
          <w:lang w:eastAsia="pl-PL"/>
          <w14:ligatures w14:val="none"/>
        </w:rPr>
      </w:pPr>
      <w:r w:rsidRPr="005958E3">
        <w:rPr>
          <w:rFonts w:ascii="Times New Roman" w:eastAsia="Times New Roman" w:hAnsi="Times New Roman" w:cs="Times New Roman"/>
          <w:kern w:val="0"/>
          <w:lang w:eastAsia="pl-PL"/>
          <w14:ligatures w14:val="none"/>
        </w:rPr>
        <w:t>Na podstawie art. 18 ust. 1 w zw. z art. 101 ust. 1 ustawy z dnia 8 marca 1990r. o samorządzie gminnym (</w:t>
      </w:r>
      <w:proofErr w:type="spellStart"/>
      <w:r w:rsidRPr="005958E3">
        <w:rPr>
          <w:rFonts w:ascii="Times New Roman" w:eastAsia="Times New Roman" w:hAnsi="Times New Roman" w:cs="Times New Roman"/>
          <w:kern w:val="0"/>
          <w:lang w:eastAsia="pl-PL"/>
          <w14:ligatures w14:val="none"/>
        </w:rPr>
        <w:t>t.j</w:t>
      </w:r>
      <w:proofErr w:type="spellEnd"/>
      <w:r w:rsidRPr="005958E3">
        <w:rPr>
          <w:rFonts w:ascii="Times New Roman" w:eastAsia="Times New Roman" w:hAnsi="Times New Roman" w:cs="Times New Roman"/>
          <w:kern w:val="0"/>
          <w:lang w:eastAsia="pl-PL"/>
          <w14:ligatures w14:val="none"/>
        </w:rPr>
        <w:t xml:space="preserve">. Dz. U. z 2026 r., poz. 662) uchwala się, co </w:t>
      </w:r>
      <w:r>
        <w:rPr>
          <w:rFonts w:ascii="Times New Roman" w:eastAsia="Times New Roman" w:hAnsi="Times New Roman" w:cs="Times New Roman"/>
          <w:kern w:val="0"/>
          <w:lang w:eastAsia="pl-PL"/>
          <w14:ligatures w14:val="none"/>
        </w:rPr>
        <w:t xml:space="preserve">następuje: </w:t>
      </w:r>
    </w:p>
    <w:p w14:paraId="32DE7081" w14:textId="77777777" w:rsidR="00067A56" w:rsidRDefault="00000000">
      <w:pPr>
        <w:keepLines/>
        <w:spacing w:before="120" w:after="120" w:line="240" w:lineRule="auto"/>
        <w:ind w:firstLine="227"/>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 Wezwanie do usunięcia naruszenia prawa poprzez nieuwzględnienie wniosku z dnia 18.02.2026r. oraz Dokumentacji C</w:t>
      </w:r>
      <w:r>
        <w:rPr>
          <w:rFonts w:ascii="Times New Roman" w:eastAsia="Times New Roman" w:hAnsi="Times New Roman" w:cs="Times New Roman"/>
          <w:kern w:val="0"/>
          <w:vertAlign w:val="subscript"/>
          <w:lang w:eastAsia="pl-PL"/>
          <w14:ligatures w14:val="none"/>
        </w:rPr>
        <w:t xml:space="preserve">1 </w:t>
      </w:r>
      <w:r>
        <w:rPr>
          <w:rFonts w:ascii="Times New Roman" w:eastAsia="Times New Roman" w:hAnsi="Times New Roman" w:cs="Times New Roman"/>
          <w:kern w:val="0"/>
          <w:lang w:eastAsia="pl-PL"/>
          <w14:ligatures w14:val="none"/>
        </w:rPr>
        <w:t>zatwierdzonej przez Marszałka Województwa Lubuskiego nr.DW.III.7427.33.2020 dla złoża kruszywa naturalnego „LETNICA”, w związku z uchwałą Rady Gminy Świdnica Nr XXIII.159.2026 z dnia 22 kwietnia 2026r. w sprawie uchwalenia Planu Ogólnego Gminy Świdnica, uznaje się za bezzasadne z przyczyn wskazanych w uzasadnieniu, stanowiącym załącznik do niniejszej uchwały.</w:t>
      </w:r>
    </w:p>
    <w:p w14:paraId="1A8EC3A8" w14:textId="77777777" w:rsidR="00067A56" w:rsidRDefault="00000000">
      <w:pPr>
        <w:keepLines/>
        <w:spacing w:before="120" w:after="120" w:line="240" w:lineRule="auto"/>
        <w:ind w:firstLine="227"/>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 Upoważnia się Przewodniczącego Rady Gminy Świdnica do poinformowania osoby wzywającej, o stanowisku zajętym przez Radę Gminy.</w:t>
      </w:r>
    </w:p>
    <w:p w14:paraId="71F4BFBF" w14:textId="77777777" w:rsidR="00067A56" w:rsidRDefault="00000000">
      <w:pPr>
        <w:keepLines/>
        <w:spacing w:before="120" w:after="120" w:line="240" w:lineRule="auto"/>
        <w:ind w:firstLine="227"/>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3. Uchwała wchodzi w życie z dniem podjęcia .</w:t>
      </w:r>
    </w:p>
    <w:p w14:paraId="556CF9AC" w14:textId="77777777" w:rsidR="00067A56" w:rsidRDefault="00067A56">
      <w:pPr>
        <w:keepLines/>
        <w:spacing w:before="120" w:after="120" w:line="240" w:lineRule="auto"/>
        <w:ind w:firstLine="227"/>
        <w:jc w:val="both"/>
        <w:rPr>
          <w:rFonts w:ascii="Times New Roman" w:eastAsia="Times New Roman" w:hAnsi="Times New Roman" w:cs="Times New Roman"/>
          <w:kern w:val="0"/>
          <w:sz w:val="22"/>
          <w:szCs w:val="22"/>
          <w:lang w:eastAsia="pl-PL"/>
          <w14:ligatures w14:val="none"/>
        </w:rPr>
      </w:pPr>
    </w:p>
    <w:tbl>
      <w:tblPr>
        <w:tblStyle w:val="Tabela-Prosty1"/>
        <w:tblW w:w="5000" w:type="pct"/>
        <w:tblLayout w:type="fixed"/>
        <w:tblCellMar>
          <w:left w:w="108" w:type="dxa"/>
          <w:right w:w="108" w:type="dxa"/>
        </w:tblCellMar>
        <w:tblLook w:val="04A0" w:firstRow="1" w:lastRow="0" w:firstColumn="1" w:lastColumn="0" w:noHBand="0" w:noVBand="1"/>
      </w:tblPr>
      <w:tblGrid>
        <w:gridCol w:w="4932"/>
        <w:gridCol w:w="4934"/>
      </w:tblGrid>
      <w:tr w:rsidR="00067A56" w14:paraId="73473BEE" w14:textId="77777777">
        <w:tc>
          <w:tcPr>
            <w:tcW w:w="4932" w:type="dxa"/>
            <w:tcBorders>
              <w:top w:val="nil"/>
              <w:left w:val="nil"/>
              <w:bottom w:val="nil"/>
              <w:right w:val="nil"/>
            </w:tcBorders>
          </w:tcPr>
          <w:p w14:paraId="50B31BEB" w14:textId="77777777" w:rsidR="00067A56" w:rsidRDefault="00067A56">
            <w:pPr>
              <w:spacing w:after="0" w:line="240" w:lineRule="auto"/>
              <w:jc w:val="both"/>
              <w:rPr>
                <w:sz w:val="22"/>
                <w:szCs w:val="22"/>
              </w:rPr>
            </w:pPr>
          </w:p>
        </w:tc>
        <w:tc>
          <w:tcPr>
            <w:tcW w:w="4933" w:type="dxa"/>
            <w:tcBorders>
              <w:top w:val="nil"/>
              <w:left w:val="nil"/>
              <w:bottom w:val="nil"/>
              <w:right w:val="nil"/>
            </w:tcBorders>
          </w:tcPr>
          <w:p w14:paraId="0242D773" w14:textId="77777777" w:rsidR="00067A56" w:rsidRDefault="00000000">
            <w:pPr>
              <w:spacing w:after="0" w:line="240" w:lineRule="auto"/>
              <w:jc w:val="center"/>
              <w:rPr>
                <w:sz w:val="22"/>
                <w:szCs w:val="22"/>
              </w:rPr>
            </w:pPr>
            <w:r>
              <w:fldChar w:fldCharType="begin"/>
            </w:r>
            <w:r>
              <w:rPr>
                <w:rFonts w:ascii="Times New Roman" w:eastAsia="Times New Roman" w:hAnsi="Times New Roman" w:cs="Times New Roman"/>
                <w:kern w:val="0"/>
                <w:sz w:val="22"/>
                <w:szCs w:val="22"/>
                <w:lang w:eastAsia="pl-PL"/>
              </w:rPr>
              <w:instrText>SIGNATURE_0_1_FUNCTION</w:instrText>
            </w:r>
            <w:r>
              <w:rPr>
                <w:rFonts w:ascii="Times New Roman" w:eastAsia="Times New Roman" w:hAnsi="Times New Roman" w:cs="Times New Roman"/>
                <w:kern w:val="0"/>
                <w:sz w:val="22"/>
                <w:szCs w:val="22"/>
                <w:lang w:eastAsia="pl-PL"/>
              </w:rPr>
              <w:fldChar w:fldCharType="separate"/>
            </w:r>
            <w:r>
              <w:rPr>
                <w:rFonts w:ascii="Times New Roman" w:eastAsia="Times New Roman" w:hAnsi="Times New Roman" w:cs="Times New Roman"/>
                <w:kern w:val="0"/>
                <w:sz w:val="22"/>
                <w:szCs w:val="22"/>
                <w:lang w:eastAsia="pl-PL"/>
              </w:rPr>
              <w:t>Przewodniczący Rady Gminy</w:t>
            </w:r>
            <w:r>
              <w:rPr>
                <w:rFonts w:ascii="Times New Roman" w:eastAsia="Times New Roman" w:hAnsi="Times New Roman" w:cs="Times New Roman"/>
                <w:kern w:val="0"/>
                <w:sz w:val="22"/>
                <w:szCs w:val="22"/>
                <w:lang w:eastAsia="pl-PL"/>
              </w:rPr>
              <w:fldChar w:fldCharType="end"/>
            </w:r>
          </w:p>
          <w:p w14:paraId="594FF86B" w14:textId="77777777" w:rsidR="00067A56" w:rsidRDefault="00000000">
            <w:pPr>
              <w:spacing w:after="0" w:line="240" w:lineRule="auto"/>
              <w:jc w:val="center"/>
              <w:rPr>
                <w:sz w:val="22"/>
                <w:szCs w:val="22"/>
              </w:rPr>
            </w:pPr>
            <w:r>
              <w:rPr>
                <w:rFonts w:ascii="Times New Roman" w:eastAsia="Times New Roman" w:hAnsi="Times New Roman" w:cs="Times New Roman"/>
                <w:kern w:val="0"/>
                <w:sz w:val="22"/>
                <w:szCs w:val="22"/>
                <w:lang w:eastAsia="pl-PL"/>
              </w:rPr>
              <w:t xml:space="preserve"> </w:t>
            </w:r>
          </w:p>
          <w:p w14:paraId="6BFA1011" w14:textId="77777777" w:rsidR="00067A56" w:rsidRDefault="00000000">
            <w:pPr>
              <w:spacing w:after="0" w:line="240" w:lineRule="auto"/>
              <w:jc w:val="center"/>
              <w:rPr>
                <w:sz w:val="22"/>
                <w:szCs w:val="22"/>
              </w:rPr>
            </w:pPr>
            <w:r>
              <w:fldChar w:fldCharType="begin"/>
            </w:r>
            <w:r>
              <w:rPr>
                <w:rFonts w:ascii="Times New Roman" w:eastAsia="Times New Roman" w:hAnsi="Times New Roman" w:cs="Times New Roman"/>
                <w:kern w:val="0"/>
                <w:sz w:val="22"/>
                <w:szCs w:val="22"/>
                <w:lang w:eastAsia="pl-PL"/>
              </w:rPr>
              <w:instrText>SIGNATURE_0_1_FIRSTNAME</w:instrText>
            </w:r>
            <w:r>
              <w:rPr>
                <w:rFonts w:ascii="Times New Roman" w:eastAsia="Times New Roman" w:hAnsi="Times New Roman" w:cs="Times New Roman"/>
                <w:kern w:val="0"/>
                <w:sz w:val="22"/>
                <w:szCs w:val="22"/>
                <w:lang w:eastAsia="pl-PL"/>
              </w:rPr>
              <w:fldChar w:fldCharType="separate"/>
            </w:r>
            <w:r>
              <w:rPr>
                <w:rFonts w:ascii="Times New Roman" w:eastAsia="Times New Roman" w:hAnsi="Times New Roman" w:cs="Times New Roman"/>
                <w:b/>
                <w:bCs/>
                <w:kern w:val="0"/>
                <w:sz w:val="22"/>
                <w:szCs w:val="22"/>
                <w:lang w:eastAsia="pl-PL"/>
              </w:rPr>
              <w:t xml:space="preserve">Tomasz </w:t>
            </w:r>
            <w:r>
              <w:rPr>
                <w:rFonts w:ascii="Times New Roman" w:eastAsia="Times New Roman" w:hAnsi="Times New Roman" w:cs="Times New Roman"/>
                <w:kern w:val="0"/>
                <w:sz w:val="22"/>
                <w:szCs w:val="22"/>
                <w:lang w:eastAsia="pl-PL"/>
              </w:rPr>
              <w:fldChar w:fldCharType="end"/>
            </w:r>
            <w:r>
              <w:fldChar w:fldCharType="begin"/>
            </w:r>
            <w:r>
              <w:rPr>
                <w:rFonts w:ascii="Times New Roman" w:eastAsia="Times New Roman" w:hAnsi="Times New Roman" w:cs="Times New Roman"/>
                <w:kern w:val="0"/>
                <w:sz w:val="22"/>
                <w:szCs w:val="22"/>
                <w:lang w:eastAsia="pl-PL"/>
              </w:rPr>
              <w:instrText>SIGNATURE_0_1_LASTNAME</w:instrText>
            </w:r>
            <w:r>
              <w:rPr>
                <w:rFonts w:ascii="Times New Roman" w:eastAsia="Times New Roman" w:hAnsi="Times New Roman" w:cs="Times New Roman"/>
                <w:kern w:val="0"/>
                <w:sz w:val="22"/>
                <w:szCs w:val="22"/>
                <w:lang w:eastAsia="pl-PL"/>
              </w:rPr>
              <w:fldChar w:fldCharType="separate"/>
            </w:r>
            <w:r>
              <w:rPr>
                <w:rFonts w:ascii="Times New Roman" w:eastAsia="Times New Roman" w:hAnsi="Times New Roman" w:cs="Times New Roman"/>
                <w:b/>
                <w:bCs/>
                <w:kern w:val="0"/>
                <w:sz w:val="22"/>
                <w:szCs w:val="22"/>
                <w:lang w:eastAsia="pl-PL"/>
              </w:rPr>
              <w:t>Marczewski</w:t>
            </w:r>
            <w:r>
              <w:rPr>
                <w:rFonts w:ascii="Times New Roman" w:eastAsia="Times New Roman" w:hAnsi="Times New Roman" w:cs="Times New Roman"/>
                <w:kern w:val="0"/>
                <w:sz w:val="22"/>
                <w:szCs w:val="22"/>
                <w:lang w:eastAsia="pl-PL"/>
              </w:rPr>
              <w:fldChar w:fldCharType="end"/>
            </w:r>
          </w:p>
        </w:tc>
      </w:tr>
    </w:tbl>
    <w:p w14:paraId="0ED31F10" w14:textId="77777777" w:rsidR="00067A56" w:rsidRDefault="00067A56">
      <w:pPr>
        <w:spacing w:after="0" w:line="240" w:lineRule="auto"/>
        <w:jc w:val="both"/>
        <w:rPr>
          <w:rFonts w:ascii="Times New Roman" w:eastAsia="Times New Roman" w:hAnsi="Times New Roman" w:cs="Times New Roman"/>
          <w:kern w:val="0"/>
          <w:sz w:val="22"/>
          <w:szCs w:val="22"/>
          <w:lang w:eastAsia="pl-PL"/>
          <w14:ligatures w14:val="none"/>
        </w:rPr>
      </w:pPr>
    </w:p>
    <w:p w14:paraId="545B5731" w14:textId="77777777" w:rsidR="00067A56" w:rsidRDefault="00000000">
      <w:pPr>
        <w:rPr>
          <w:rFonts w:ascii="Times New Roman" w:eastAsia="Times New Roman" w:hAnsi="Times New Roman" w:cs="Times New Roman"/>
          <w:color w:val="000000"/>
          <w:kern w:val="0"/>
          <w:sz w:val="22"/>
          <w:szCs w:val="22"/>
          <w:lang w:eastAsia="pl-PL"/>
          <w14:ligatures w14:val="none"/>
        </w:rPr>
      </w:pPr>
      <w:r>
        <w:br w:type="page"/>
      </w:r>
    </w:p>
    <w:p w14:paraId="4F2CDD59" w14:textId="77777777" w:rsidR="00067A56" w:rsidRDefault="00067A56">
      <w:pPr>
        <w:keepLines/>
        <w:spacing w:after="120" w:line="240" w:lineRule="auto"/>
        <w:ind w:firstLine="227"/>
        <w:jc w:val="both"/>
        <w:rPr>
          <w:rFonts w:ascii="Times New Roman" w:eastAsia="Times New Roman" w:hAnsi="Times New Roman" w:cs="Times New Roman"/>
          <w:color w:val="000000"/>
          <w:kern w:val="0"/>
          <w:sz w:val="22"/>
          <w:szCs w:val="22"/>
          <w:lang w:eastAsia="pl-PL"/>
          <w14:ligatures w14:val="none"/>
        </w:rPr>
      </w:pPr>
    </w:p>
    <w:p w14:paraId="0734846A" w14:textId="77777777" w:rsidR="00067A56" w:rsidRDefault="00000000">
      <w:pPr>
        <w:jc w:val="center"/>
        <w:rPr>
          <w:rFonts w:ascii="Times New Roman" w:hAnsi="Times New Roman" w:cs="Times New Roman"/>
          <w:b/>
          <w:bCs/>
        </w:rPr>
      </w:pPr>
      <w:r>
        <w:rPr>
          <w:rFonts w:ascii="Times New Roman" w:hAnsi="Times New Roman" w:cs="Times New Roman"/>
          <w:b/>
          <w:bCs/>
        </w:rPr>
        <w:t>UZASADNIENIE</w:t>
      </w:r>
    </w:p>
    <w:p w14:paraId="04C88B43" w14:textId="77777777" w:rsidR="00067A56" w:rsidRDefault="00000000">
      <w:pPr>
        <w:jc w:val="both"/>
        <w:rPr>
          <w:rFonts w:ascii="Times New Roman" w:hAnsi="Times New Roman" w:cs="Times New Roman"/>
        </w:rPr>
      </w:pPr>
      <w:r>
        <w:rPr>
          <w:rFonts w:ascii="Times New Roman" w:hAnsi="Times New Roman" w:cs="Times New Roman"/>
        </w:rPr>
        <w:t>Zgodnie z art. 101 ust. 1 ustawy z dnia 8 marca 1990 r. o samorządzie gminnym (</w:t>
      </w:r>
      <w:proofErr w:type="spellStart"/>
      <w:r>
        <w:rPr>
          <w:rFonts w:ascii="Times New Roman" w:hAnsi="Times New Roman" w:cs="Times New Roman"/>
        </w:rPr>
        <w:t>t.j</w:t>
      </w:r>
      <w:proofErr w:type="spellEnd"/>
      <w:r>
        <w:rPr>
          <w:rFonts w:ascii="Times New Roman" w:hAnsi="Times New Roman" w:cs="Times New Roman"/>
        </w:rPr>
        <w:t xml:space="preserve">. Dz. U. z 2025 r. poz. 1153 z </w:t>
      </w:r>
      <w:proofErr w:type="spellStart"/>
      <w:r>
        <w:rPr>
          <w:rFonts w:ascii="Times New Roman" w:hAnsi="Times New Roman" w:cs="Times New Roman"/>
        </w:rPr>
        <w:t>późn</w:t>
      </w:r>
      <w:proofErr w:type="spellEnd"/>
      <w:r>
        <w:rPr>
          <w:rFonts w:ascii="Times New Roman" w:hAnsi="Times New Roman" w:cs="Times New Roman"/>
        </w:rPr>
        <w:t xml:space="preserve">. zm.) </w:t>
      </w:r>
      <w:r>
        <w:rPr>
          <w:rFonts w:ascii="Times New Roman" w:hAnsi="Times New Roman" w:cs="Times New Roman"/>
          <w:i/>
          <w:iCs/>
        </w:rPr>
        <w:t>„Każdy, czyj interes prawny lub uprawnienie zostały naruszone uchwałą lub zarządzeniem, podjętymi przez organ gminy w sprawie z zakresu administracji publicznej, może zaskarżyć uchwałę lub zarządzenie do sądu administracyjnego”</w:t>
      </w:r>
      <w:r>
        <w:rPr>
          <w:rFonts w:ascii="Times New Roman" w:hAnsi="Times New Roman" w:cs="Times New Roman"/>
        </w:rPr>
        <w:t>.</w:t>
      </w:r>
    </w:p>
    <w:p w14:paraId="1C933806" w14:textId="77777777" w:rsidR="00067A56" w:rsidRDefault="00000000">
      <w:pPr>
        <w:jc w:val="both"/>
        <w:rPr>
          <w:rFonts w:ascii="Times New Roman" w:hAnsi="Times New Roman" w:cs="Times New Roman"/>
        </w:rPr>
      </w:pPr>
      <w:r>
        <w:rPr>
          <w:rFonts w:ascii="Times New Roman" w:hAnsi="Times New Roman" w:cs="Times New Roman"/>
        </w:rPr>
        <w:t>Pismem z dnia 29.04.2026 r. (data wpływu: 30.04.2026 r.) ARUNA POLSKA Sp. z o. o. Sp. k. (dalej: Spółka) z siedzibą przy ul. Bohaterów Westerplatte 11/4 w Zielonej Górze wezwała Radę Gminy Świdnica do usunięcia naruszenia prawa poprzez nieuwzględnienie wniosku z dnia 18.02.2026r. oraz Dokumentacji C</w:t>
      </w:r>
      <w:r>
        <w:rPr>
          <w:rFonts w:ascii="Times New Roman" w:hAnsi="Times New Roman" w:cs="Times New Roman"/>
          <w:vertAlign w:val="subscript"/>
        </w:rPr>
        <w:t xml:space="preserve">1 </w:t>
      </w:r>
      <w:r>
        <w:rPr>
          <w:rFonts w:ascii="Times New Roman" w:hAnsi="Times New Roman" w:cs="Times New Roman"/>
        </w:rPr>
        <w:t xml:space="preserve">zatwierdzonej przez Marszałka Województwa Lubuskiego nr. DW.III.7427.33.2020 dla złoża kruszywa naturalnego „LETNICA” położonego na działkach nr 122/1, 123/4 oraz 4/1 obręb Letnica. </w:t>
      </w:r>
    </w:p>
    <w:p w14:paraId="56D8F7E0" w14:textId="77777777" w:rsidR="00067A56" w:rsidRDefault="00000000">
      <w:pPr>
        <w:jc w:val="both"/>
        <w:rPr>
          <w:rFonts w:ascii="Times New Roman" w:hAnsi="Times New Roman" w:cs="Times New Roman"/>
        </w:rPr>
      </w:pPr>
      <w:r>
        <w:rPr>
          <w:rFonts w:ascii="Times New Roman" w:hAnsi="Times New Roman" w:cs="Times New Roman"/>
        </w:rPr>
        <w:t>Zdaniem Spółki do naruszenie prawa doszło poprzez uchwalenie Planu Ogólnego Gminy Świdnica bez uwzględnienia obowiązku zapewnienia możliwości eksploatacji udokumentowanego złoża kopalin oraz pomimo uprzedniego wniosku złożonego przez Spółkę w dniu 18.02.2026 r. dotyczącego uwzględnienia złoża kruszywa naturalnego „LETNICA” jako strefy SG (tj. STREFY GÓRNICTWA) w związku z art. 95 i art. 104 ustawy z dnia 9 czerwca 2011 r. - Prawo geologiczne i górnicze.</w:t>
      </w:r>
    </w:p>
    <w:p w14:paraId="5CAA20F8" w14:textId="77777777" w:rsidR="00067A56" w:rsidRDefault="00000000">
      <w:pPr>
        <w:jc w:val="both"/>
        <w:rPr>
          <w:rFonts w:ascii="Times New Roman" w:hAnsi="Times New Roman" w:cs="Times New Roman"/>
        </w:rPr>
      </w:pPr>
      <w:r>
        <w:rPr>
          <w:rFonts w:ascii="Times New Roman" w:hAnsi="Times New Roman" w:cs="Times New Roman"/>
        </w:rPr>
        <w:t>Spółka wniosła o:</w:t>
      </w:r>
    </w:p>
    <w:p w14:paraId="05BFA6B6" w14:textId="77777777" w:rsidR="00067A56" w:rsidRDefault="00000000">
      <w:pPr>
        <w:pStyle w:val="Akapitzlist"/>
        <w:numPr>
          <w:ilvl w:val="0"/>
          <w:numId w:val="1"/>
        </w:numPr>
        <w:jc w:val="both"/>
        <w:rPr>
          <w:rFonts w:ascii="Times New Roman" w:hAnsi="Times New Roman" w:cs="Times New Roman"/>
        </w:rPr>
      </w:pPr>
      <w:r>
        <w:rPr>
          <w:rFonts w:ascii="Times New Roman" w:hAnsi="Times New Roman" w:cs="Times New Roman"/>
        </w:rPr>
        <w:t>Zmianę Uchwały Nr XXIII.159.2026 Rady Gminy Świdnica z dnia 22 kwietnia 2026 r. w sprawie uchwalenia Planu Ogólnego Gminy Świdnica poprzez uwzględnienie dla terenów obejmujących złoże „LETNICA” właściwej strefy planistycznej umożliwiającej eksploatację kopaliny - strefy SG.</w:t>
      </w:r>
    </w:p>
    <w:p w14:paraId="246B34B7" w14:textId="77777777" w:rsidR="00067A56" w:rsidRDefault="00000000">
      <w:pPr>
        <w:pStyle w:val="Akapitzlist"/>
        <w:numPr>
          <w:ilvl w:val="0"/>
          <w:numId w:val="1"/>
        </w:numPr>
        <w:jc w:val="both"/>
        <w:rPr>
          <w:rFonts w:ascii="Times New Roman" w:hAnsi="Times New Roman" w:cs="Times New Roman"/>
        </w:rPr>
      </w:pPr>
      <w:r>
        <w:rPr>
          <w:rFonts w:ascii="Times New Roman" w:hAnsi="Times New Roman" w:cs="Times New Roman"/>
        </w:rPr>
        <w:t>Pisemne odniesienie się do wniosku Spółki z dnia 18.02.2026 r. oraz wskazanie przyczyn jego nieuwzględnienia</w:t>
      </w:r>
    </w:p>
    <w:p w14:paraId="3FD2047B" w14:textId="77777777" w:rsidR="00067A56" w:rsidRDefault="00000000">
      <w:pPr>
        <w:pStyle w:val="Akapitzlist"/>
        <w:numPr>
          <w:ilvl w:val="0"/>
          <w:numId w:val="1"/>
        </w:numPr>
        <w:jc w:val="both"/>
        <w:rPr>
          <w:rFonts w:ascii="Times New Roman" w:hAnsi="Times New Roman" w:cs="Times New Roman"/>
        </w:rPr>
      </w:pPr>
      <w:r>
        <w:rPr>
          <w:rFonts w:ascii="Times New Roman" w:hAnsi="Times New Roman" w:cs="Times New Roman"/>
        </w:rPr>
        <w:t>Zmianę Planu Ogólnego.</w:t>
      </w:r>
    </w:p>
    <w:p w14:paraId="7702BEC4" w14:textId="77777777" w:rsidR="00067A56" w:rsidRPr="005958E3" w:rsidRDefault="00000000">
      <w:pPr>
        <w:jc w:val="both"/>
      </w:pPr>
      <w:r w:rsidRPr="005958E3">
        <w:rPr>
          <w:rFonts w:ascii="Times New Roman" w:hAnsi="Times New Roman" w:cs="Times New Roman"/>
        </w:rPr>
        <w:t>Na wstępie organ podkreśla art. 101 ust. 1 ustawy z dnia 8 marca 1990 r. o samorządzie gminnym (</w:t>
      </w:r>
      <w:proofErr w:type="spellStart"/>
      <w:r w:rsidRPr="005958E3">
        <w:rPr>
          <w:rFonts w:ascii="Times New Roman" w:hAnsi="Times New Roman" w:cs="Times New Roman"/>
        </w:rPr>
        <w:t>t.j</w:t>
      </w:r>
      <w:proofErr w:type="spellEnd"/>
      <w:r w:rsidRPr="005958E3">
        <w:rPr>
          <w:rFonts w:ascii="Times New Roman" w:hAnsi="Times New Roman" w:cs="Times New Roman"/>
        </w:rPr>
        <w:t xml:space="preserve">. Dz. U. z 2026 r. poz. 662) w aktualnym brzmieniu nie przewiduje już procedury wezwania organu do usunięcia naruszenia prawa, w zakresie uchwały rady gminy. Zmiana tego przepisu nastąpiła </w:t>
      </w:r>
      <w:proofErr w:type="gramStart"/>
      <w:r w:rsidRPr="005958E3">
        <w:rPr>
          <w:rFonts w:ascii="Times New Roman" w:hAnsi="Times New Roman" w:cs="Times New Roman"/>
        </w:rPr>
        <w:t>dnia  1</w:t>
      </w:r>
      <w:proofErr w:type="gramEnd"/>
      <w:r w:rsidRPr="005958E3">
        <w:rPr>
          <w:rFonts w:ascii="Times New Roman" w:hAnsi="Times New Roman" w:cs="Times New Roman"/>
        </w:rPr>
        <w:t> czerwca 2017 r., na mocy ustawy z dnia 7 kwietnia 2017 r. o zmianie ustawy - Kodeks postępowania administracyjnego oraz niektórych innych ustaw (Dz. U. poz. 935). Aktualnie (w odniesieniu do uchwał przyjętych po dniu 1 czerwca 2017 r.) osoba posiadająca interes prawny może zaskarżyć uchwalę rady gminy, będąca aktem prawa miejscowego, w każdym czasie, bez konieczności uprzedniego wezwania organu do usunięcia naruszenia prawa. Mimo tego organ uznaje, że wniosek ARUNA POLSKA Sp. z o. o. Sp. k. wymaga merytorycznego rozpatrzenia.</w:t>
      </w:r>
    </w:p>
    <w:p w14:paraId="3F5D6E79" w14:textId="77777777" w:rsidR="00067A56" w:rsidRDefault="00000000">
      <w:pPr>
        <w:jc w:val="both"/>
        <w:rPr>
          <w:rFonts w:ascii="Times New Roman" w:hAnsi="Times New Roman" w:cs="Times New Roman"/>
          <w:b/>
          <w:bCs/>
        </w:rPr>
      </w:pPr>
      <w:r>
        <w:rPr>
          <w:rFonts w:ascii="Times New Roman" w:hAnsi="Times New Roman" w:cs="Times New Roman"/>
          <w:b/>
          <w:bCs/>
        </w:rPr>
        <w:t>Uznanie wezwania w postulowanym zakresie jest bezzasadne z następujących przyczyn:</w:t>
      </w:r>
    </w:p>
    <w:p w14:paraId="7E63E8CD" w14:textId="77777777" w:rsidR="00067A56" w:rsidRDefault="00000000">
      <w:pPr>
        <w:tabs>
          <w:tab w:val="left" w:pos="284"/>
        </w:tabs>
        <w:jc w:val="both"/>
        <w:rPr>
          <w:rFonts w:ascii="Times New Roman" w:hAnsi="Times New Roman" w:cs="Times New Roman"/>
        </w:rPr>
      </w:pPr>
      <w:r>
        <w:rPr>
          <w:rFonts w:ascii="Times New Roman" w:hAnsi="Times New Roman" w:cs="Times New Roman"/>
        </w:rPr>
        <w:t>Zgodnie z art. 13 c ustawy z dnia 27 marca 2003 r. o planowaniu i zagospodarowaniu przestrzennym (</w:t>
      </w:r>
      <w:proofErr w:type="spellStart"/>
      <w:r>
        <w:rPr>
          <w:rFonts w:ascii="Times New Roman" w:hAnsi="Times New Roman" w:cs="Times New Roman"/>
        </w:rPr>
        <w:t>t.j</w:t>
      </w:r>
      <w:proofErr w:type="spellEnd"/>
      <w:r>
        <w:rPr>
          <w:rFonts w:ascii="Times New Roman" w:hAnsi="Times New Roman" w:cs="Times New Roman"/>
        </w:rPr>
        <w:t>. Dz. U. z 2026 r. poz. 538) gmina ma możliwość uwzględnienia w planach zagospodarowania przestrzennego udokumentowanych złóż kopalin, w zależności od statusu złoża, poprzez wyznaczenie jednej z trzech stref planistycznych - Strefę górnictwa (SG), Strefę otwartą z zakazem zabudowy (SO) i Strefę zieleni i rekreacji (SN);</w:t>
      </w:r>
    </w:p>
    <w:p w14:paraId="59E7004D" w14:textId="77777777" w:rsidR="00067A56" w:rsidRDefault="00000000">
      <w:pPr>
        <w:tabs>
          <w:tab w:val="left" w:pos="284"/>
        </w:tabs>
        <w:jc w:val="both"/>
        <w:rPr>
          <w:rFonts w:ascii="Times New Roman" w:hAnsi="Times New Roman" w:cs="Times New Roman"/>
        </w:rPr>
      </w:pPr>
      <w:r>
        <w:rPr>
          <w:rFonts w:ascii="Times New Roman" w:hAnsi="Times New Roman" w:cs="Times New Roman"/>
        </w:rPr>
        <w:t>I tak:</w:t>
      </w:r>
    </w:p>
    <w:p w14:paraId="0E035F52" w14:textId="77777777" w:rsidR="00067A56" w:rsidRDefault="00000000">
      <w:pPr>
        <w:tabs>
          <w:tab w:val="left" w:pos="284"/>
        </w:tabs>
        <w:jc w:val="both"/>
        <w:rPr>
          <w:rFonts w:ascii="Times New Roman" w:hAnsi="Times New Roman" w:cs="Times New Roman"/>
        </w:rPr>
      </w:pPr>
      <w:r>
        <w:rPr>
          <w:rFonts w:ascii="Times New Roman" w:hAnsi="Times New Roman" w:cs="Times New Roman"/>
          <w:b/>
          <w:bCs/>
        </w:rPr>
        <w:lastRenderedPageBreak/>
        <w:t>Strefę górnictwa (SG)</w:t>
      </w:r>
      <w:r>
        <w:rPr>
          <w:rFonts w:ascii="Times New Roman" w:hAnsi="Times New Roman" w:cs="Times New Roman"/>
        </w:rPr>
        <w:t>: Wyznacza się dla terenów, gdzie eksploatacja złoża już trwa lub jest bezpośrednio planowana (na wydobycie kopaliny ze złoża jest wydana koncesja i w decyzji o udzieleniu koncesji jest ustanowiony formalnie obszar i terenu górniczy). Profil podstawowy tej strefy obejmuje teren górnictwa i wydobycia, teren komunikacji, teren infrastruktury technicznej.</w:t>
      </w:r>
    </w:p>
    <w:p w14:paraId="326C7BFF" w14:textId="77777777" w:rsidR="00067A56" w:rsidRDefault="00000000">
      <w:pPr>
        <w:tabs>
          <w:tab w:val="left" w:pos="284"/>
        </w:tabs>
        <w:jc w:val="both"/>
        <w:rPr>
          <w:rFonts w:ascii="Times New Roman" w:hAnsi="Times New Roman" w:cs="Times New Roman"/>
        </w:rPr>
      </w:pPr>
      <w:r>
        <w:rPr>
          <w:rFonts w:ascii="Times New Roman" w:hAnsi="Times New Roman" w:cs="Times New Roman"/>
          <w:b/>
          <w:bCs/>
        </w:rPr>
        <w:t>Strefę otwarta (SO)</w:t>
      </w:r>
      <w:r>
        <w:rPr>
          <w:rFonts w:ascii="Times New Roman" w:hAnsi="Times New Roman" w:cs="Times New Roman"/>
        </w:rPr>
        <w:t>: Jest narzędziem ochronnym dla złóż jeszcze nieeksploatowanych (tzw. zasobów perspektywicznych lub zaniechanych). Profil podstawowy tej strefy obejmuje wyłącznie obszary bez prawa zabudowy, takie jak grunty rolne z zakazem zabudowy, lasy, wody czy tereny zieleni naturalnej teren wód, teren komunikacji, teren infrastruktury technicznej;</w:t>
      </w:r>
    </w:p>
    <w:p w14:paraId="06DDA9C0" w14:textId="77777777" w:rsidR="00067A56" w:rsidRDefault="00000000">
      <w:pPr>
        <w:tabs>
          <w:tab w:val="left" w:pos="284"/>
        </w:tabs>
        <w:jc w:val="both"/>
        <w:rPr>
          <w:rFonts w:ascii="Times New Roman" w:hAnsi="Times New Roman" w:cs="Times New Roman"/>
        </w:rPr>
      </w:pPr>
      <w:r>
        <w:rPr>
          <w:rFonts w:ascii="Times New Roman" w:hAnsi="Times New Roman" w:cs="Times New Roman"/>
          <w:b/>
          <w:bCs/>
        </w:rPr>
        <w:t>Strefę zieleni i rekreacji</w:t>
      </w:r>
      <w:r>
        <w:rPr>
          <w:rFonts w:ascii="Times New Roman" w:hAnsi="Times New Roman" w:cs="Times New Roman"/>
        </w:rPr>
        <w:t xml:space="preserve"> (SN), której profil podstawowy obejmuje teren zieleni urządzonej, teren plaży, teren wód, teren komunikacji, teren infrastruktury technicznej.</w:t>
      </w:r>
    </w:p>
    <w:p w14:paraId="00C5E280" w14:textId="77777777" w:rsidR="00067A56" w:rsidRDefault="00000000">
      <w:pPr>
        <w:tabs>
          <w:tab w:val="left" w:pos="426"/>
        </w:tabs>
        <w:spacing w:after="0"/>
        <w:jc w:val="both"/>
        <w:rPr>
          <w:rFonts w:ascii="Times New Roman" w:hAnsi="Times New Roman" w:cs="Times New Roman"/>
        </w:rPr>
      </w:pPr>
      <w:r>
        <w:rPr>
          <w:rFonts w:ascii="Times New Roman" w:hAnsi="Times New Roman" w:cs="Times New Roman"/>
        </w:rPr>
        <w:t xml:space="preserve">Zgodnie z art. 6 ust.1 pkt 5 ustawy Prawo geologiczne i górnicze (dalej: ustawa </w:t>
      </w:r>
      <w:proofErr w:type="spellStart"/>
      <w:r>
        <w:rPr>
          <w:rFonts w:ascii="Times New Roman" w:hAnsi="Times New Roman" w:cs="Times New Roman"/>
        </w:rPr>
        <w:t>p.g.g</w:t>
      </w:r>
      <w:proofErr w:type="spellEnd"/>
      <w:r>
        <w:rPr>
          <w:rFonts w:ascii="Times New Roman" w:hAnsi="Times New Roman" w:cs="Times New Roman"/>
        </w:rPr>
        <w:t>)</w:t>
      </w:r>
      <w:r>
        <w:rPr>
          <w:rFonts w:ascii="Times New Roman" w:hAnsi="Times New Roman" w:cs="Times New Roman"/>
          <w:b/>
          <w:bCs/>
        </w:rPr>
        <w:t xml:space="preserve"> obszarem górniczym</w:t>
      </w:r>
      <w:r>
        <w:rPr>
          <w:rFonts w:ascii="Times New Roman" w:hAnsi="Times New Roman" w:cs="Times New Roman"/>
        </w:rPr>
        <w:t xml:space="preserve"> jest przestrzeń, w granicach której przedsiębiorca jest uprawniony do wydobywania kopaliny, podziemnego bezzbiornikowego magazynowania substancji, podziemnego składowania odpadów, podziemnego składowania dwutlenku węgla oraz prowadzenia robót górniczych niezbędnych do wykonywania koncesji.</w:t>
      </w:r>
    </w:p>
    <w:p w14:paraId="428F015F" w14:textId="77777777" w:rsidR="00067A56" w:rsidRDefault="00000000">
      <w:pPr>
        <w:tabs>
          <w:tab w:val="left" w:pos="426"/>
        </w:tabs>
        <w:spacing w:after="0"/>
        <w:jc w:val="both"/>
        <w:rPr>
          <w:rFonts w:ascii="Times New Roman" w:hAnsi="Times New Roman" w:cs="Times New Roman"/>
        </w:rPr>
      </w:pPr>
      <w:r>
        <w:rPr>
          <w:rFonts w:ascii="Times New Roman" w:hAnsi="Times New Roman" w:cs="Times New Roman"/>
        </w:rPr>
        <w:t xml:space="preserve">Zgodnie z art. 6 ust.1 pkt 15 ustawy </w:t>
      </w:r>
      <w:proofErr w:type="spellStart"/>
      <w:r>
        <w:rPr>
          <w:rFonts w:ascii="Times New Roman" w:hAnsi="Times New Roman" w:cs="Times New Roman"/>
        </w:rPr>
        <w:t>p.g.g</w:t>
      </w:r>
      <w:proofErr w:type="spellEnd"/>
      <w:r>
        <w:rPr>
          <w:rFonts w:ascii="Times New Roman" w:hAnsi="Times New Roman" w:cs="Times New Roman"/>
        </w:rPr>
        <w:t xml:space="preserve">. </w:t>
      </w:r>
      <w:r>
        <w:rPr>
          <w:rFonts w:ascii="Times New Roman" w:hAnsi="Times New Roman" w:cs="Times New Roman"/>
          <w:b/>
          <w:bCs/>
        </w:rPr>
        <w:t>terenem górniczym</w:t>
      </w:r>
      <w:r>
        <w:rPr>
          <w:rFonts w:ascii="Times New Roman" w:hAnsi="Times New Roman" w:cs="Times New Roman"/>
        </w:rPr>
        <w:t xml:space="preserve"> jest przestrzeń objęta przewidywanymi szkodliwymi wpływami robót górniczych zakładu górniczego.</w:t>
      </w:r>
    </w:p>
    <w:p w14:paraId="03346E30" w14:textId="77777777" w:rsidR="00067A56" w:rsidRDefault="00000000">
      <w:pPr>
        <w:tabs>
          <w:tab w:val="left" w:pos="426"/>
        </w:tabs>
        <w:spacing w:after="0"/>
        <w:jc w:val="both"/>
        <w:rPr>
          <w:rFonts w:ascii="Times New Roman" w:hAnsi="Times New Roman" w:cs="Times New Roman"/>
        </w:rPr>
      </w:pPr>
      <w:r>
        <w:rPr>
          <w:rFonts w:ascii="Times New Roman" w:hAnsi="Times New Roman" w:cs="Times New Roman"/>
        </w:rPr>
        <w:t xml:space="preserve">Zgodnie z art. 95 ustawy </w:t>
      </w:r>
      <w:proofErr w:type="spellStart"/>
      <w:r>
        <w:rPr>
          <w:rFonts w:ascii="Times New Roman" w:hAnsi="Times New Roman" w:cs="Times New Roman"/>
        </w:rPr>
        <w:t>p.g.g</w:t>
      </w:r>
      <w:proofErr w:type="spellEnd"/>
      <w:r>
        <w:rPr>
          <w:rFonts w:ascii="Times New Roman" w:hAnsi="Times New Roman" w:cs="Times New Roman"/>
        </w:rPr>
        <w:t xml:space="preserve">, </w:t>
      </w:r>
      <w:r>
        <w:rPr>
          <w:rFonts w:ascii="Times New Roman" w:hAnsi="Times New Roman" w:cs="Times New Roman"/>
          <w:b/>
          <w:bCs/>
        </w:rPr>
        <w:t>udokumentowane złoża kopalin</w:t>
      </w:r>
      <w:r>
        <w:rPr>
          <w:rFonts w:ascii="Times New Roman" w:hAnsi="Times New Roman" w:cs="Times New Roman"/>
        </w:rPr>
        <w:t xml:space="preserve"> (tj. dla którego opracowano dokumentacje geologiczną) podlegają obowiązkowemu ujawnieniu i ochronie w celu zabezpieczenia możliwości ich eksploatacji lub wykorzystania w dokumentach planistycznych gminy.</w:t>
      </w:r>
    </w:p>
    <w:p w14:paraId="0D73C9C2" w14:textId="77777777" w:rsidR="00067A56" w:rsidRDefault="00000000">
      <w:pPr>
        <w:tabs>
          <w:tab w:val="left" w:pos="426"/>
        </w:tabs>
        <w:spacing w:after="0"/>
        <w:jc w:val="both"/>
        <w:rPr>
          <w:rFonts w:ascii="Times New Roman" w:hAnsi="Times New Roman" w:cs="Times New Roman"/>
          <w:i/>
          <w:iCs/>
        </w:rPr>
      </w:pPr>
      <w:r>
        <w:rPr>
          <w:rFonts w:ascii="Times New Roman" w:hAnsi="Times New Roman" w:cs="Times New Roman"/>
        </w:rPr>
        <w:t xml:space="preserve">Jak podkreślają w komentarzu do ustawy Prawo geologiczne i górnicze A. Lipiński i R. Mikosz: </w:t>
      </w:r>
      <w:r>
        <w:rPr>
          <w:rFonts w:ascii="Times New Roman" w:hAnsi="Times New Roman" w:cs="Times New Roman"/>
          <w:i/>
          <w:iCs/>
        </w:rPr>
        <w:t>„obowiązek ujawnienia ma w przypadku planu miejscowego wiele aspektów. Oznacza on m.in. konieczność ochrony złóż kopalin przed zagospodarowaniem miejsc ich występowania (ich otoczenia) w sposób wykluczający przyszłą eksploatację.</w:t>
      </w:r>
      <w:r>
        <w:rPr>
          <w:rFonts w:ascii="Times New Roman" w:eastAsia="Times New Roman" w:hAnsi="Times New Roman" w:cs="Times New Roman"/>
          <w:i/>
          <w:iCs/>
          <w:color w:val="000000"/>
          <w:kern w:val="0"/>
          <w:szCs w:val="22"/>
          <w:lang w:eastAsia="pl-PL"/>
          <w14:ligatures w14:val="none"/>
        </w:rPr>
        <w:t xml:space="preserve"> </w:t>
      </w:r>
      <w:r>
        <w:rPr>
          <w:rFonts w:ascii="Times New Roman" w:hAnsi="Times New Roman" w:cs="Times New Roman"/>
          <w:i/>
          <w:iCs/>
        </w:rPr>
        <w:t>Jedną z przesłanek opracowania (uchwalenia) planu miejscowego jest też rozważenie wszystkich zależności, jakie wiążą się z występowaniem na danym terenie złóż kopalin. Nie oznacza to jednak obowiązku ukształtowania planu miejscowego w sposób umożliwiający eksploatację złoża kopaliny”.</w:t>
      </w:r>
    </w:p>
    <w:p w14:paraId="2E0FD24D" w14:textId="77777777" w:rsidR="00067A56" w:rsidRDefault="00000000">
      <w:pPr>
        <w:tabs>
          <w:tab w:val="left" w:pos="426"/>
        </w:tabs>
        <w:jc w:val="both"/>
        <w:rPr>
          <w:rFonts w:ascii="Times New Roman" w:hAnsi="Times New Roman" w:cs="Times New Roman"/>
        </w:rPr>
      </w:pPr>
      <w:r>
        <w:rPr>
          <w:rFonts w:ascii="Times New Roman" w:hAnsi="Times New Roman" w:cs="Times New Roman"/>
        </w:rPr>
        <w:t xml:space="preserve">Mając na uwadze powyższe art. 95 ust. 1 </w:t>
      </w:r>
      <w:proofErr w:type="spellStart"/>
      <w:r>
        <w:rPr>
          <w:rFonts w:ascii="Times New Roman" w:hAnsi="Times New Roman" w:cs="Times New Roman"/>
        </w:rPr>
        <w:t>p.g.g</w:t>
      </w:r>
      <w:proofErr w:type="spellEnd"/>
      <w:r>
        <w:rPr>
          <w:rFonts w:ascii="Times New Roman" w:hAnsi="Times New Roman" w:cs="Times New Roman"/>
        </w:rPr>
        <w:t xml:space="preserve">. dotyczy wyłącznie sytuacji, w której złoża kopalin zostały już udokumentowane (na podstawie sporządzonej dokumentacji geologicznej), lecz nie wyznaczono jeszcze dla nich terenu górniczego. Przepis ten nie ma zastosowania do kopalin objętych już koncesją na wydobycie. Kwestię terenów górniczych reguluje bowiem precyzyjniej art. 104 ust. 1 </w:t>
      </w:r>
      <w:proofErr w:type="spellStart"/>
      <w:r>
        <w:rPr>
          <w:rFonts w:ascii="Times New Roman" w:hAnsi="Times New Roman" w:cs="Times New Roman"/>
        </w:rPr>
        <w:t>p.g.g</w:t>
      </w:r>
      <w:proofErr w:type="spellEnd"/>
      <w:r>
        <w:rPr>
          <w:rFonts w:ascii="Times New Roman" w:hAnsi="Times New Roman" w:cs="Times New Roman"/>
        </w:rPr>
        <w:t xml:space="preserve">. Zgodnie z art. 104. ust. 1. ustawy </w:t>
      </w:r>
      <w:proofErr w:type="spellStart"/>
      <w:r>
        <w:rPr>
          <w:rFonts w:ascii="Times New Roman" w:hAnsi="Times New Roman" w:cs="Times New Roman"/>
        </w:rPr>
        <w:t>p.g.g</w:t>
      </w:r>
      <w:proofErr w:type="spellEnd"/>
      <w:r>
        <w:rPr>
          <w:rFonts w:ascii="Times New Roman" w:hAnsi="Times New Roman" w:cs="Times New Roman"/>
        </w:rPr>
        <w:t>. obszary i tereny górnicze uwzględnia się: 1) określając ustalenia planu ogólnego gminy; 2)w miejscowym planie zagospodarowania przestrzennego.</w:t>
      </w:r>
    </w:p>
    <w:p w14:paraId="30038EA5" w14:textId="77777777" w:rsidR="00067A56" w:rsidRDefault="00000000">
      <w:pPr>
        <w:tabs>
          <w:tab w:val="left" w:pos="426"/>
        </w:tabs>
        <w:spacing w:after="0"/>
        <w:jc w:val="both"/>
        <w:rPr>
          <w:rFonts w:ascii="Times New Roman" w:hAnsi="Times New Roman" w:cs="Times New Roman"/>
        </w:rPr>
      </w:pPr>
      <w:r>
        <w:rPr>
          <w:rFonts w:ascii="Times New Roman" w:hAnsi="Times New Roman" w:cs="Times New Roman"/>
        </w:rPr>
        <w:t>Po dokonaniu wszechstronnej analizy uwarunkowań przestrzennych, środowiskowych oraz społecznych, biorąc pod uwagę, że w przypadku złoża „LETNICA” decyzja zatwierdzająca dokumentację geologiczną dla tego złoża została wydana, podjęta została decyzja o objęciu w/w obszaru tzw. strefą otwartą (SO) z jednoczesnym wprowadzeniem zakazu zabudowy;</w:t>
      </w:r>
    </w:p>
    <w:p w14:paraId="13840C09" w14:textId="77777777" w:rsidR="00067A56" w:rsidRDefault="00000000">
      <w:pPr>
        <w:tabs>
          <w:tab w:val="left" w:pos="426"/>
        </w:tabs>
        <w:spacing w:after="0"/>
        <w:jc w:val="both"/>
        <w:rPr>
          <w:rFonts w:ascii="Times New Roman" w:hAnsi="Times New Roman" w:cs="Times New Roman"/>
        </w:rPr>
      </w:pPr>
      <w:r>
        <w:rPr>
          <w:rFonts w:ascii="Times New Roman" w:hAnsi="Times New Roman" w:cs="Times New Roman"/>
        </w:rPr>
        <w:t xml:space="preserve">Wprowadzenie strefy otwartej (SO) wraz z zakazem zabudowy kubaturowej gwarantuje, że na terenie złoża nie powstaną inwestycje (np. mieszkaniowe, usługowe), które w przyszłości uniemożliwiłyby technicznie i prawnie wydobycie kopaliny – brak możliwości uchwalenia Miejscowego Planu Zagospodarowania Przestrzennego (MPZP) pod budownictwo mieszkaniowe, usługowe czy przemysłowe oraz uzyskania warunków zabudowy (WZ). W związku z czym cel ochrony złoża, wynikający m.in. z art. 95 ustawy </w:t>
      </w:r>
      <w:proofErr w:type="spellStart"/>
      <w:r>
        <w:rPr>
          <w:rFonts w:ascii="Times New Roman" w:hAnsi="Times New Roman" w:cs="Times New Roman"/>
        </w:rPr>
        <w:t>p.g.g</w:t>
      </w:r>
      <w:proofErr w:type="spellEnd"/>
      <w:r>
        <w:rPr>
          <w:rFonts w:ascii="Times New Roman" w:hAnsi="Times New Roman" w:cs="Times New Roman"/>
        </w:rPr>
        <w:t xml:space="preserve">, został w pełni zabezpieczony. Dopóki właściwy organ nie wyda </w:t>
      </w:r>
      <w:r>
        <w:rPr>
          <w:rFonts w:ascii="Times New Roman" w:hAnsi="Times New Roman" w:cs="Times New Roman"/>
        </w:rPr>
        <w:lastRenderedPageBreak/>
        <w:t>koncesji i nie ustanowi formalnie obszaru i terenu górniczego, żądanie Spółki o natychmiastowe wprowadzenie strefy przemysłowej (SG) jest przedwczesne.</w:t>
      </w:r>
    </w:p>
    <w:p w14:paraId="4BCE82AC" w14:textId="77777777" w:rsidR="00067A56" w:rsidRDefault="00000000">
      <w:pPr>
        <w:tabs>
          <w:tab w:val="left" w:pos="284"/>
        </w:tabs>
        <w:jc w:val="both"/>
        <w:rPr>
          <w:rFonts w:ascii="Times New Roman" w:hAnsi="Times New Roman" w:cs="Times New Roman"/>
        </w:rPr>
      </w:pPr>
      <w:r>
        <w:rPr>
          <w:rFonts w:ascii="Times New Roman" w:hAnsi="Times New Roman" w:cs="Times New Roman"/>
        </w:rPr>
        <w:t>Ponadto projekt Planu Ogólnego Gminy Świdnica w uchwalonym kształcie – przewidującym strefę SO dla złoża „LETNICA” został poddany procedurze uzgodnień i opinii. Geolog Wojewódzki wydał pozytywną opinię dla proponowanych rozwiązań, uznając je za prawidłowe, wystarczające i zgodne z polityką surowcową oraz przepisami prawa ochrony środowiska i prawa geologicznego.</w:t>
      </w:r>
    </w:p>
    <w:p w14:paraId="4C77CC50" w14:textId="77777777" w:rsidR="00067A56" w:rsidRDefault="00000000">
      <w:pPr>
        <w:jc w:val="both"/>
        <w:rPr>
          <w:rFonts w:ascii="Times New Roman" w:hAnsi="Times New Roman" w:cs="Times New Roman"/>
        </w:rPr>
      </w:pPr>
      <w:r>
        <w:rPr>
          <w:rFonts w:ascii="Times New Roman" w:hAnsi="Times New Roman" w:cs="Times New Roman"/>
        </w:rPr>
        <w:t>Mając na uwadze powyższe okoliczności faktyczne i prawne, podjęcie niniejszej uchwały przez Radę Gminy jest w pełni uzasadnione i celowe.</w:t>
      </w:r>
    </w:p>
    <w:p w14:paraId="2AE5EC02" w14:textId="77777777" w:rsidR="00067A56" w:rsidRDefault="00067A56">
      <w:pPr>
        <w:jc w:val="both"/>
        <w:rPr>
          <w:rFonts w:ascii="Times New Roman" w:hAnsi="Times New Roman" w:cs="Times New Roman"/>
        </w:rPr>
      </w:pPr>
    </w:p>
    <w:sectPr w:rsidR="00067A56">
      <w:pgSz w:w="11906" w:h="16838"/>
      <w:pgMar w:top="992" w:right="1020" w:bottom="992" w:left="1020"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6C91"/>
    <w:multiLevelType w:val="multilevel"/>
    <w:tmpl w:val="16528A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D7E4520"/>
    <w:multiLevelType w:val="multilevel"/>
    <w:tmpl w:val="375E7A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16809079">
    <w:abstractNumId w:val="0"/>
  </w:num>
  <w:num w:numId="2" w16cid:durableId="1293174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56"/>
    <w:rsid w:val="00067A56"/>
    <w:rsid w:val="005958E3"/>
    <w:rsid w:val="0097025C"/>
    <w:rsid w:val="00A87CBC"/>
    <w:rsid w:val="00F50D3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6298"/>
  <w15:docId w15:val="{78DECEF3-F01C-4E5E-9B1C-6243742E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76" w:lineRule="auto"/>
    </w:pPr>
  </w:style>
  <w:style w:type="paragraph" w:styleId="Nagwek1">
    <w:name w:val="heading 1"/>
    <w:basedOn w:val="Normalny"/>
    <w:next w:val="Normalny"/>
    <w:link w:val="Nagwek1Znak"/>
    <w:uiPriority w:val="9"/>
    <w:qFormat/>
    <w:rsid w:val="00771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71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71D2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71D2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71D2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71D2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1D2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1D2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1D2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771D2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771D2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771D2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771D2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771D2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771D2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771D2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771D2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771D2F"/>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771D2F"/>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771D2F"/>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771D2F"/>
    <w:rPr>
      <w:i/>
      <w:iCs/>
      <w:color w:val="404040" w:themeColor="text1" w:themeTint="BF"/>
    </w:rPr>
  </w:style>
  <w:style w:type="character" w:styleId="Wyrnienieintensywne">
    <w:name w:val="Intense Emphasis"/>
    <w:basedOn w:val="Domylnaczcionkaakapitu"/>
    <w:uiPriority w:val="21"/>
    <w:qFormat/>
    <w:rsid w:val="00771D2F"/>
    <w:rPr>
      <w:i/>
      <w:iCs/>
      <w:color w:val="0F4761" w:themeColor="accent1" w:themeShade="BF"/>
    </w:rPr>
  </w:style>
  <w:style w:type="character" w:customStyle="1" w:styleId="CytatintensywnyZnak">
    <w:name w:val="Cytat intensywny Znak"/>
    <w:basedOn w:val="Domylnaczcionkaakapitu"/>
    <w:link w:val="Cytatintensywny"/>
    <w:uiPriority w:val="30"/>
    <w:qFormat/>
    <w:rsid w:val="00771D2F"/>
    <w:rPr>
      <w:i/>
      <w:iCs/>
      <w:color w:val="0F4761" w:themeColor="accent1" w:themeShade="BF"/>
    </w:rPr>
  </w:style>
  <w:style w:type="character" w:styleId="Odwoanieintensywne">
    <w:name w:val="Intense Reference"/>
    <w:basedOn w:val="Domylnaczcionkaakapitu"/>
    <w:uiPriority w:val="32"/>
    <w:qFormat/>
    <w:rsid w:val="00771D2F"/>
    <w:rPr>
      <w:b/>
      <w:bCs/>
      <w:smallCaps/>
      <w:color w:val="0F4761" w:themeColor="accent1" w:themeShade="BF"/>
      <w:spacing w:val="5"/>
    </w:rPr>
  </w:style>
  <w:style w:type="character" w:styleId="Hipercze">
    <w:name w:val="Hyperlink"/>
    <w:basedOn w:val="Domylnaczcionkaakapitu"/>
    <w:uiPriority w:val="99"/>
    <w:unhideWhenUsed/>
    <w:rsid w:val="00B730CF"/>
    <w:rPr>
      <w:color w:val="467886" w:themeColor="hyperlink"/>
      <w:u w:val="single"/>
    </w:rPr>
  </w:style>
  <w:style w:type="character" w:styleId="Nierozpoznanawzmianka">
    <w:name w:val="Unresolved Mention"/>
    <w:basedOn w:val="Domylnaczcionkaakapitu"/>
    <w:uiPriority w:val="99"/>
    <w:semiHidden/>
    <w:unhideWhenUsed/>
    <w:qFormat/>
    <w:rsid w:val="00B730CF"/>
    <w:rPr>
      <w:color w:val="605E5C"/>
      <w:shd w:val="clear" w:color="auto" w:fill="E1DFDD"/>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771D2F"/>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771D2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1D2F"/>
    <w:pPr>
      <w:spacing w:before="160"/>
      <w:jc w:val="center"/>
    </w:pPr>
    <w:rPr>
      <w:i/>
      <w:iCs/>
      <w:color w:val="404040" w:themeColor="text1" w:themeTint="BF"/>
    </w:rPr>
  </w:style>
  <w:style w:type="paragraph" w:styleId="Akapitzlist">
    <w:name w:val="List Paragraph"/>
    <w:basedOn w:val="Normalny"/>
    <w:uiPriority w:val="34"/>
    <w:qFormat/>
    <w:rsid w:val="00771D2F"/>
    <w:pPr>
      <w:ind w:left="720"/>
      <w:contextualSpacing/>
    </w:pPr>
  </w:style>
  <w:style w:type="paragraph" w:styleId="Cytatintensywny">
    <w:name w:val="Intense Quote"/>
    <w:basedOn w:val="Normalny"/>
    <w:next w:val="Normalny"/>
    <w:link w:val="CytatintensywnyZnak"/>
    <w:uiPriority w:val="30"/>
    <w:qFormat/>
    <w:rsid w:val="00771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table" w:styleId="Tabela-Prosty1">
    <w:name w:val="Table Simple 1"/>
    <w:basedOn w:val="Standardowy"/>
    <w:uiPriority w:val="99"/>
    <w:rsid w:val="00771D2F"/>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1229</Words>
  <Characters>7377</Characters>
  <Application>Microsoft Office Word</Application>
  <DocSecurity>0</DocSecurity>
  <Lines>61</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Żalejko</dc:creator>
  <dc:description/>
  <cp:lastModifiedBy>Magdalena Dotka</cp:lastModifiedBy>
  <cp:revision>4</cp:revision>
  <cp:lastPrinted>2026-05-26T07:24:00Z</cp:lastPrinted>
  <dcterms:created xsi:type="dcterms:W3CDTF">2026-05-26T07:23:00Z</dcterms:created>
  <dcterms:modified xsi:type="dcterms:W3CDTF">2026-05-26T07:29:00Z</dcterms:modified>
  <dc:language>pl-PL</dc:language>
</cp:coreProperties>
</file>